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</w:rPr>
        <w:t>付出百倍努力，稳定位次迁移</w:t>
      </w:r>
    </w:p>
    <w:p>
      <w:pPr>
        <w:spacing w:line="360" w:lineRule="auto"/>
        <w:jc w:val="center"/>
        <w:rPr>
          <w:b w:val="0"/>
          <w:bCs w:val="0"/>
          <w:color w:val="000000" w:themeColor="text1"/>
          <w:sz w:val="36"/>
          <w:szCs w:val="36"/>
        </w:rPr>
      </w:pPr>
      <w:r>
        <w:rPr>
          <w:rFonts w:hint="eastAsia"/>
          <w:b w:val="0"/>
          <w:bCs w:val="0"/>
          <w:color w:val="000000" w:themeColor="text1"/>
          <w:sz w:val="36"/>
          <w:szCs w:val="36"/>
          <w:lang w:eastAsia="zh-CN"/>
        </w:rPr>
        <w:t>——</w:t>
      </w:r>
      <w:r>
        <w:rPr>
          <w:rFonts w:hint="eastAsia"/>
          <w:b w:val="0"/>
          <w:bCs w:val="0"/>
          <w:color w:val="000000" w:themeColor="text1"/>
          <w:sz w:val="36"/>
          <w:szCs w:val="36"/>
        </w:rPr>
        <w:t>泰安长城中学202</w:t>
      </w:r>
      <w:r>
        <w:rPr>
          <w:rFonts w:hint="eastAsia"/>
          <w:b w:val="0"/>
          <w:bCs w:val="0"/>
          <w:color w:val="000000" w:themeColor="text1"/>
          <w:sz w:val="36"/>
          <w:szCs w:val="36"/>
          <w:lang w:val="en-US" w:eastAsia="zh-CN"/>
        </w:rPr>
        <w:t>2</w:t>
      </w:r>
      <w:r>
        <w:rPr>
          <w:rFonts w:hint="eastAsia"/>
          <w:b w:val="0"/>
          <w:bCs w:val="0"/>
          <w:color w:val="000000" w:themeColor="text1"/>
          <w:sz w:val="36"/>
          <w:szCs w:val="36"/>
        </w:rPr>
        <w:t>—202</w:t>
      </w:r>
      <w:r>
        <w:rPr>
          <w:rFonts w:hint="eastAsia"/>
          <w:b w:val="0"/>
          <w:bCs w:val="0"/>
          <w:color w:val="000000" w:themeColor="text1"/>
          <w:sz w:val="36"/>
          <w:szCs w:val="36"/>
          <w:lang w:val="en-US" w:eastAsia="zh-CN"/>
        </w:rPr>
        <w:t>3</w:t>
      </w:r>
      <w:r>
        <w:rPr>
          <w:rFonts w:hint="eastAsia"/>
          <w:b w:val="0"/>
          <w:bCs w:val="0"/>
          <w:color w:val="000000" w:themeColor="text1"/>
          <w:sz w:val="36"/>
          <w:szCs w:val="36"/>
        </w:rPr>
        <w:t>学年度教学工作计划</w:t>
      </w:r>
    </w:p>
    <w:p>
      <w:pPr>
        <w:spacing w:line="360" w:lineRule="auto"/>
        <w:jc w:val="center"/>
        <w:rPr>
          <w:rFonts w:hint="eastAsia"/>
          <w:b/>
          <w:bCs/>
          <w:color w:val="000000" w:themeColor="text1"/>
          <w:sz w:val="36"/>
          <w:szCs w:val="36"/>
          <w:lang w:val="en-US" w:eastAsia="zh-CN"/>
        </w:rPr>
      </w:pPr>
    </w:p>
    <w:p>
      <w:pPr>
        <w:spacing w:line="360" w:lineRule="auto"/>
        <w:ind w:firstLine="640" w:firstLineChars="200"/>
        <w:rPr>
          <w:rFonts w:ascii="黑体" w:hAnsi="黑体" w:eastAsia="黑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 w:themeColor="text1"/>
          <w:kern w:val="0"/>
          <w:sz w:val="32"/>
          <w:szCs w:val="32"/>
        </w:rPr>
        <w:t>一、指导思想</w:t>
      </w:r>
    </w:p>
    <w:p>
      <w:pPr>
        <w:spacing w:line="360" w:lineRule="auto"/>
        <w:ind w:firstLine="672" w:firstLineChars="200"/>
        <w:rPr>
          <w:rFonts w:hint="default" w:ascii="仿宋" w:hAnsi="仿宋" w:eastAsia="仿宋" w:cs="仿宋"/>
          <w:bCs/>
          <w:color w:val="000000" w:themeColor="text1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000000" w:themeColor="text1"/>
          <w:spacing w:val="8"/>
          <w:sz w:val="32"/>
          <w:szCs w:val="32"/>
          <w:shd w:val="clear" w:color="auto" w:fill="FFFFFF"/>
        </w:rPr>
        <w:t>全面贯彻党的教育方针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把立德、树人作为教育的根本任务，“为党育人、为国育才”。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紧紧围绕学校“1426”发展战略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spacing w:val="8"/>
          <w:sz w:val="32"/>
          <w:szCs w:val="32"/>
          <w:shd w:val="clear" w:color="auto" w:fill="FFFFFF"/>
          <w:lang w:val="en-US" w:eastAsia="zh-CN"/>
        </w:rPr>
        <w:t>科学、</w:t>
      </w:r>
      <w:r>
        <w:rPr>
          <w:rFonts w:hint="eastAsia" w:ascii="仿宋" w:hAnsi="仿宋" w:eastAsia="仿宋" w:cs="仿宋"/>
          <w:bCs/>
          <w:color w:val="000000" w:themeColor="text1"/>
          <w:spacing w:val="8"/>
          <w:sz w:val="32"/>
          <w:szCs w:val="32"/>
          <w:shd w:val="clear" w:color="auto" w:fill="FFFFFF"/>
        </w:rPr>
        <w:t>规范教学常规，强化教学过程管理，以管理保质量</w:t>
      </w:r>
      <w:r>
        <w:rPr>
          <w:rFonts w:hint="eastAsia" w:ascii="仿宋" w:hAnsi="仿宋" w:eastAsia="仿宋" w:cs="仿宋"/>
          <w:bCs/>
          <w:color w:val="000000" w:themeColor="text1"/>
          <w:spacing w:val="8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Cs/>
          <w:color w:val="000000" w:themeColor="text1"/>
          <w:spacing w:val="8"/>
          <w:sz w:val="32"/>
          <w:szCs w:val="32"/>
          <w:shd w:val="clear" w:color="auto" w:fill="FFFFFF"/>
          <w:lang w:val="en-US" w:eastAsia="zh-CN"/>
        </w:rPr>
        <w:t>实施</w:t>
      </w:r>
      <w:r>
        <w:rPr>
          <w:rFonts w:hint="eastAsia" w:ascii="仿宋" w:hAnsi="仿宋" w:eastAsia="仿宋" w:cs="仿宋"/>
          <w:bCs/>
          <w:color w:val="000000" w:themeColor="text1"/>
          <w:spacing w:val="8"/>
          <w:sz w:val="32"/>
          <w:szCs w:val="32"/>
          <w:shd w:val="clear" w:color="auto" w:fill="FFFFFF"/>
        </w:rPr>
        <w:t>“教研课题化、育人课程化”，提高教科研实效性，以教科研提效益，以课程促育人。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</w:rPr>
        <w:t>发挥增值评价在教师专业发展、多元发展和学生全面发展、个性发展中的主导作用，使教师专业发展和学生全面成长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</w:rPr>
        <w:t>取得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</w:rPr>
        <w:t>更大面积突破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</w:rPr>
        <w:t>学校稳定位次迁移。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 w:themeColor="text1"/>
          <w:kern w:val="0"/>
          <w:sz w:val="32"/>
          <w:szCs w:val="32"/>
        </w:rPr>
        <w:t>二、主要工作与措施</w:t>
      </w:r>
    </w:p>
    <w:p>
      <w:pPr>
        <w:spacing w:line="360" w:lineRule="auto"/>
        <w:ind w:firstLine="640" w:firstLineChars="200"/>
        <w:rPr>
          <w:rFonts w:ascii="楷体" w:hAnsi="楷体" w:eastAsia="楷体"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 xml:space="preserve">1.认真落实国家“立德树人”的教育根本任务。 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认真履行教书育人职责，在课程教学中渗透政治思想教育，充分挖掘教材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中国元素进行爱国教育、红色教育、文化自信教育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注重管理育人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践行“全员育人、全面育人、全程育人”的理念，让学生“亲其师，信其道”，构建和谐师生关系，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引导学生形成正确的世界观、人生观和价值观，努力培养德智体美劳全面发展的社会主义建设者和接班人。</w:t>
      </w:r>
    </w:p>
    <w:p>
      <w:pPr>
        <w:spacing w:line="360" w:lineRule="auto"/>
        <w:ind w:firstLine="640" w:firstLineChars="200"/>
        <w:rPr>
          <w:rFonts w:ascii="楷体" w:hAnsi="楷体" w:eastAsia="楷体"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2.规范教育教学行为，开全课程，开足课时，促进学生全面发展、个性发展、健康成长。</w:t>
      </w:r>
    </w:p>
    <w:p>
      <w:pPr>
        <w:spacing w:line="360" w:lineRule="auto"/>
        <w:ind w:firstLine="640" w:firstLineChars="200"/>
        <w:rPr>
          <w:rFonts w:ascii="楷体" w:hAnsi="楷体" w:eastAsia="楷体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严格落实教育部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双减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“五项管理”规定，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科学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管控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好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学生作业、睡眠、手机、读物、体质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等情况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，落实好“双减”工作。严格执行《山东省普通中小学办学基本规范》（十五条），科学、规范学校教育教学行为。认真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学习、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贯彻《国家高中课程标准》和《山东省普通高中学生课程实施指导意见》，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围绕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新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课程、新教材、新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高考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要求研究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课程开设，确保必修课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、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选修课、综合实践课、艺体、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信息与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通用技术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等课程开齐开全，让学生全面发展、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多元发展、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学有所长。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严格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落实学生学分要求，深入开展研究性学习和综合实践、劳动教育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增强全面贯彻党的教育方针的自觉性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楷体" w:hAnsi="楷体" w:eastAsia="楷体"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3.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制定、修改、完善《教师双向选择聘任方案》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《教师工作量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计算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办法》和《教师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考核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评价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方案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》，科学、公平、公正评价教师工作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激励教师工作积极性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（1）制定、实施《教师双向选择聘任方案》，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全面推行教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岗位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双向选择、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聘任，按需设岗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满岗满员，逐级聘任、逐级负责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毕业年级适当优先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双向选聘教师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各年级保持教师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相对稳定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先聘任年级副主任、班主任、备课组长，形成各年级相对稳定的教师管理群体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结合教师意向，各年级根据所需教师岗位数，各自聘任本年级岗位数的90%（含教师管理群体），形成各年级相对稳定的教师群体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学校教师聘任领导小组最后研究、确定教师聘任情况。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统筹兼顾，形成和谐进取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竞争有序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优势互补，结构合理的团队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为学校科学发展打下坚实基础。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《教师工作量计算办法》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</w:rPr>
        <w:t>教师考核、职称职级评聘、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  <w:t>绩效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工资分配的</w:t>
      </w:r>
      <w:r>
        <w:rPr>
          <w:rStyle w:val="8"/>
          <w:rFonts w:hint="eastAsia" w:ascii="仿宋" w:hAnsi="仿宋" w:eastAsia="仿宋" w:cs="仿宋"/>
          <w:i w:val="0"/>
          <w:color w:val="000000" w:themeColor="text1"/>
          <w:sz w:val="32"/>
          <w:szCs w:val="32"/>
          <w:shd w:val="clear" w:color="auto" w:fill="FFFFFF"/>
        </w:rPr>
        <w:t>重要</w:t>
      </w:r>
      <w:r>
        <w:rPr>
          <w:rStyle w:val="8"/>
          <w:rFonts w:hint="eastAsia" w:ascii="仿宋" w:hAnsi="仿宋" w:eastAsia="仿宋" w:cs="仿宋"/>
          <w:i w:val="0"/>
          <w:color w:val="000000" w:themeColor="text1"/>
          <w:sz w:val="32"/>
          <w:szCs w:val="32"/>
          <w:shd w:val="clear" w:color="auto" w:fill="FFFFFF"/>
          <w:lang w:eastAsia="zh-CN"/>
        </w:rPr>
        <w:t>依据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  <w:t>对促进学校发展、提高学校管理效益、加强学校教师队伍建设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  <w:t>调动教师积极性等具有重要意义。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 w:bidi="ar"/>
        </w:rPr>
        <w:t>全面、科学、公平、合理计算教师工作量，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 w:bidi="ar"/>
        </w:rPr>
        <w:t>有效调动教职工工作积极性、主动性。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 w:bidi="ar"/>
        </w:rPr>
        <w:t>体现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 w:bidi="ar"/>
        </w:rPr>
        <w:t>“多劳多得”，确定一线教师满工作量，向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 w:bidi="ar"/>
        </w:rPr>
        <w:t>课堂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 w:bidi="ar"/>
        </w:rPr>
        <w:t>教学一线倾斜；教师工作量适当体现学案编写、自习辅导、答疑等工作量；教师工作量适当体现班主任工作量；教师工作量适当体现兼职、兼课、代课工作量；体现教师多元发展工作量，如校本课程的研发与实施，社团、社会实践、研究性学习等活动的跟进、指导；教师工作量适当体现鼓励老教师教学工作量；适当体现考试工作量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 xml:space="preserve">           </w:t>
      </w:r>
    </w:p>
    <w:p>
      <w:pPr>
        <w:pStyle w:val="9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（3）修改、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制定符合学校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实际的《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教师考核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评价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》，落实学校“讲政治、讲法治、讲原则、讲科学”发展策略，进一步优化学校内部管理机制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充分发挥考核方案的导向作用，引导教师立足岗位，出满勤、干满岗、比贡献、比奉献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实事求是，科学、规范教师评价考核工作，考核内容、权重等真实、全面、客观，确保考核结果客观、公正。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教师考核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注重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工作量、注重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过程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注重教学常规的落实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，合理设置、分配各类教学、教研活动的效益评价。完善质量分析方案和考核机制，制定增值评价方案，科学设置目标，以目标达成、进步幅度作为考核教学成绩的主要抓手。设立年级、班级各个层次的目标，围绕目标扎实开展工作，对照目标实施增值评价方案。对照目标科学分析，从“校际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横向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分析、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年级纵向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分析、学科分析、班级分析、教师分析”五个维度，根据目标达成情况，做出科学、公平、公正的评价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进一步调动教师的工作积极性，提高教育教学质量。</w:t>
      </w:r>
    </w:p>
    <w:p>
      <w:pPr>
        <w:spacing w:line="360" w:lineRule="auto"/>
        <w:ind w:firstLine="640" w:firstLineChars="200"/>
        <w:rPr>
          <w:rFonts w:ascii="楷体" w:hAnsi="楷体" w:eastAsia="楷体"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4.根据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学段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特点，扎实、科学、高效地抓好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年级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管理工作。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年级是学校计划和各项任务创造性落实的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最重要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基层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，学生管理是校风、学风建设的关键，完善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提升年级管理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团队的管理作用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切实做到年级管理全时段、全方位、无死角。关注学生成长现象和发展苗头，早发现、早研判、早治理，指导、督促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班主任有的放矢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地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整改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关注特殊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学生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建立年级特殊学生档案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全时段关注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帮助班主任教育、引导、管理好特殊学生。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年级加大对违纪学生的监督、管理力度，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教育与惩戒相结合，确保年级管理风清气正。年级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加强教学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常规管理和教学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质量管理，实施年级、班级、备课组的质量目标责任制，全面提高教学质量。</w:t>
      </w:r>
    </w:p>
    <w:p>
      <w:pPr>
        <w:spacing w:line="360" w:lineRule="auto"/>
        <w:ind w:firstLine="640" w:firstLineChars="200"/>
      </w:pP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（1）20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级（高三）：要向学生管理要质量，夯实学生基础、深入研究高考，大面积提升学生成绩，争取高考文化课过线人数再攀升、艺体特长生双过线人数有新突破。加强目标引领，强化目标管理，以增值评价为抓手，开展“寻标对标”活动，定目标、定任务，层层压实年级、班级、学科、教师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的目标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责任，力争在全市历次统考和2023年高考实现新突破。制定科学、细致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可行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方案，抓好对目标生和边缘生的巩固提升，以师生结对形式培优补弱，与教师考核挂钩。科学规划高三备考，编制高三专门的年级日历，复习备考任务细化到周、日。制定科学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复习备考策略、方法：一轮全面复习，夯实基础，训练难度适中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二轮专题复习，做好重点难题突破、方法规律引领，考点个个击破、不留死角；三轮注重应试训练，进行题型训练，注重模拟考试效益最大化，在检验学生知识和能力的基础上，同时强化应试心理、答题规范、答题技巧等方面的能力培养。抓好复习课的课堂研讨，组织课堂研讨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课听评课的活动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借鉴去年高三一轮研讨课成果，“以学定教，以考定教，以学定练、以考定练”，提高复习的针对性和实效性。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深入研究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课程标准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高考评价体系、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高考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试题分析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，梳理考点及深广度，科学复习。加强对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近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年高考考试试题分析、高考题的研究，精准命题、精准模考，提高命题的针对性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力争在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学科能力大赛中实现新突破。认真组织好全市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次统考，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充分发挥考试效益最大化，增加线下二次阅卷，让老师知道学生错在哪？因何错？如何补？倡导教师面批试卷，提高针对性、鼓励学生树立信心。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抓住考试节点开展教研活动，认真分析考试得失，调整加强培优、定时训练、周测月考计划，补齐短板。实施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家校共育，班主任、教练、家长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联动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措施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，加强对特长生的管理。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全时段、全方位做好特长生管理，统筹做好特长生的专业训练和文化课复习工作，特别探索、实践体育特长生的文化课复习工作。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高度关注学生身心健康，利用“一日三餐”文化活动做好高考励志工作，利用“全员育人导师制”师生一对一、面对面常态化辅导精准施教，点燃学生激情，最大限度挖掘学生学习内驱力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让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学生全身心、高效率投入复习备考之中。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（2）202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级（高二）：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培养有梦想、有行动的长城学子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不懈努力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平行分班大大激发了师生的积极性，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落实“低重心教学策略”，面向学生全体，大面积提升教育教学质量。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针对高二阶段学生学习压力相对较小、思想行为容易松懈、散漫的特点，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抓细、抓实、抓常学生常规管理，提高学生管理工作的预见性、针对性，持续跟踪管理的突出问题。加强对特长生、特殊学生的教育管理，以管理促进年级学生的良好精神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、行为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风貌。注重学生理想教育和心理疏导，引导学生树立目标，提升学生学习的内驱力。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持之以恒培养学生学习的规范习惯，良好的学习习惯是成功的前提。加强课堂教学改革，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落实“变式启发”教学，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继续探索、实践、完善“学生成长共同体建设”。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以增值评价为抓手，开展“寻标对标”活动，增强年级、班级、学科、教师、学生间的竞争、拼搏意识。加大教学常规的过程管理，在备课、授课、讲评、纠错、规范、作业设计收缴批改、组卷、考练、帮扶、研讨等方面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强化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落实。规范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教研活动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，杜绝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形式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主义，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年级跟进学科集体备课，进一步提升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实效性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。深入研究高考学科的教学工作，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扎实开展新课标、新教材、新高考的教研工作，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准确把握知识的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深广度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，逐步培养学生分析、解决问题的能力。立足集体备课，提升理论学习和日常命题研讨的质量，加强对真题、热点、专题、学法教法、命题、课型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研究和实践。扎实做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好日常训练与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学情检测工作，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“把考试当练习、把练习当考试”，培养学生心态平和、规范严谨的应试习惯。全面、科学分析成绩和不足，找到解决问题办法并抓好落实。组织好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班级协调会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，为每一位学生集体会诊，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让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每一位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学生都能得到切实的帮扶和关爱。研究等级赋分，让老师、学生充分认识等级赋分规律，为教师教学和学生学习提供科学的支撑。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科学调控教学进度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，适时进入高三一轮复习工作。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（3）2021级（高一）：认真总结201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级教育教学经验和不足，做好传承与创新。加强学生日常行为规范教育，培养学生良好的行为习惯，尽快形成积极向上的年级学风。注重学生理想教育和心理疏导，引导学生树立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高中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目标，提升学习的内驱力。注重培养学生良好的学习习惯，完成初高中学法转变，提高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课堂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和自习的质量，形成积极向上的学习氛围。加强课堂教学改革，探索、实践“学生成长共同体”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探索小组合作模式，在学习、行为等方面分工协作，相互监督、相互帮助，建立学习成长共同体。积极实施小组互助、小老师等学习制度，提高课堂讨论效率，解决好课下、饭空，特别是假期学生学习效率低的问题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将学生成长共同体应用到学生成长的方方面面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。以增值评价为抓手，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发挥平行分班的优势，激励调动广大师生的积极性。强化目标意识，根据分班情况，合理设置年级、班级、学科基础目标、提高目标，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增强年级、班级、学科、教师、学生间的竞争、拼搏意识。加强备课组管理，强化备课组组长责任意识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规范集体备课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形成“在学习中改革，在改革中探究，在探究中发展”的理念，激活研究的氛围。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树立、宣传年级“乐教、会教、真教”教师典型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激发教师们的工作热情，形成教师愿教、学生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  <w:lang w:val="en-US" w:eastAsia="zh-CN"/>
        </w:rPr>
        <w:t>乐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学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良好局面。加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强对学情、教情的研究，主动研究新教材、新高考、新课改，帮助学生、家长尽快适应高中学习要求，切实提高学生选课和学考学科质量提升、生涯规划指导和高校招生变化研究。落实“低重心”教学策略，面向全体学生，努力使每一位学生成人成才。利用高一学年的历次综合考试，科学分析，指导、帮助学生科学做好选科工作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5.抓好学科教研组、备课组建设，浓厚教研氛围，增强教研群体和团队凝聚力，促进教师专业发展、多元发展。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营造相互学习、开拓进取、合作共享的教研环境，使之成为教师不断从中汲取智慧和力量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的场所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教研组长、备课组长要增强责任意识，严格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遵守学校教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制度，规范教研、教学行为，认真落实备课、听课、评课、研课等教研活动。鼓励教师个人发展的同时，探索实施教研组（备课组）整体评价，推动学科组共同成长、整体发展。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注重教研组建设，1-2个月组织一次备课组教研活动，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协调好三个年级的学科教学，深入开展学科教研活动，根据新课程、新高考的要求，对教材创造性整合，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推进国家课程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校本化，以适合学考合格考、等级考的不同要求。积极探索适合我校课堂改革和学科特点的教学载体，修改完善导学案，形成“学校大同、学科小异、同科相同”的导学案。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组织带领学科教师实施课题研究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，积极探索学科校本课程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研究性学习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学科实践活动等校本课程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的研发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和实施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工作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争创建设特色学科基地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。</w:t>
      </w:r>
    </w:p>
    <w:p>
      <w:pPr>
        <w:pStyle w:val="9"/>
        <w:spacing w:line="360" w:lineRule="auto"/>
        <w:ind w:firstLine="640"/>
        <w:rPr>
          <w:rFonts w:hint="default" w:ascii="楷体" w:hAnsi="楷体" w:eastAsia="楷体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6.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eastAsia="zh-CN"/>
        </w:rPr>
        <w:t>“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讲原则、讲规矩”，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eastAsia="zh-CN"/>
        </w:rPr>
        <w:t>“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有规可依、依规而行”。制定、完善各项教学规范，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规范教学行为，抓实、抓细、抓常教学常规管理，以“常规”保障教育教学的质量。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提高教师对落实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教学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常规的重要性认识，制定、完善各项教学常规的规范、检查、评价办法，规范教学管理和教学常规要求，全面落实各项规章制度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抓实、抓细、抓常、抓好常规的各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环节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。完善教学常规考核评价机制，发挥过程管理的评价引导功能。如：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备课规范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：个人备课，包括教案书写、PPT制作等；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上课规范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：衣着、出勤、教案、手机等；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作业规范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：布置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量、难度等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、批改、矫正；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自习规范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：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按时、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维持秩序、答疑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手机等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不从事与教学无关的事情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；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考试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</w:rPr>
        <w:t>六环节”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规范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：命题、考试、阅卷、分析、讲评、补救等；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教研规范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：含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教研制度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》（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每周备课组一次教研-集体备课；每1-2个月一次学科组教研；学校、处室教研活动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《集体备课规范》（教学进度、深广度、学案编写等）、《听评课规范》、其他《教研活动规范》（学科组、学校等教研活动）。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注重过程管理，定期对各项教学常规进行检查、评价，加强对教师的上课、自习、集体备课、听评课等日常教育教学工作的监督检查，发挥过程管理的实效性。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通报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反馈检查结果，组织整改突出问题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尤其是解决部分教师课堂及自习期间使用手机的问题。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继续实施教学干部跟进学科制度，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组织教学管理干部深入课堂，向课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45分钟要质量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开展学生评教，深入了解学情。通过问卷调查、学生座谈等多种形式积极开展学情调查，深入了解班风、学风以及学生的学习情况，结合实际问题及时调整教学策略。科学把握各个年级特点，制定科学、切实可行的方案。深入研究高校招生考试改革新要求，科学指导学生选科走班、分科前后的稳定和衔接工作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加强考试的检测、反馈职能，提高对教学教学的引领。科学安排各年级各项检测，通过考试巡查加强考风考纪建设，强化试卷的二次批阅和面批。组织好开学第一周的新高一入学检测和高二、高三年级的全市统考工作。</w:t>
      </w:r>
    </w:p>
    <w:p>
      <w:pPr>
        <w:pStyle w:val="9"/>
        <w:spacing w:line="360" w:lineRule="auto"/>
        <w:rPr>
          <w:rFonts w:hint="eastAsia"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严格按照省市要求，继续做好学籍平台管理和学生综合素质评价等工作。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抓实抓细实验室管理，在为学科教学做好服务保障的基础上，确保实验室器材、药品等使用规范、安全，做好上级的安全迎检等工作。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认真做好各类大型考试的组织、协调工作，确保各类考试工作有序进行。</w:t>
      </w:r>
    </w:p>
    <w:p>
      <w:pPr>
        <w:spacing w:line="360" w:lineRule="auto"/>
        <w:ind w:firstLine="640" w:firstLineChars="200"/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7.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总结经验与不足，做好因疫情防控要求，随时切换线上、线下教学的各项准备工作。</w:t>
      </w:r>
    </w:p>
    <w:p>
      <w:pPr>
        <w:pStyle w:val="9"/>
        <w:spacing w:line="360" w:lineRule="auto"/>
        <w:ind w:firstLine="640"/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总结以往线上教学的经验和不足，修改、完善线上教学预案，做好班主任、教师的线上教学培训工作，跟进督导、评价线上教学和教研活动，探索线上答疑、作业布置与批改等教学活动，确保线上教学的质量，确保学生身心健康成长。协调线上教学设备、网络的维护，确保线上教学顺利进行。</w:t>
      </w:r>
    </w:p>
    <w:p>
      <w:pPr>
        <w:pStyle w:val="9"/>
        <w:spacing w:line="360" w:lineRule="auto"/>
        <w:ind w:firstLine="640"/>
        <w:rPr>
          <w:rFonts w:ascii="楷体" w:hAnsi="楷体" w:eastAsia="楷体"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.积极开展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教研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活动，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提升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教师教学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专业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素养，促进教师专业化成长。</w:t>
      </w:r>
    </w:p>
    <w:p>
      <w:pPr>
        <w:pStyle w:val="9"/>
        <w:spacing w:line="360" w:lineRule="auto"/>
        <w:ind w:firstLine="640"/>
        <w:rPr>
          <w:rFonts w:hint="eastAsia"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加强教研管理，提高教研效能，努力提升教师专业水平，提高课堂教学针对性和实效性。加大教情、学情、高考规律和变化热点研究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组织教师参加各类学科、高考备考研讨活动。</w:t>
      </w:r>
    </w:p>
    <w:p>
      <w:pPr>
        <w:pStyle w:val="9"/>
        <w:spacing w:line="360" w:lineRule="auto"/>
        <w:ind w:firstLine="640"/>
        <w:rPr>
          <w:rFonts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扎实推进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“解题、析题、命题”能力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组织全体任课教师进行“202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夏季高考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试题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的解题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析题活动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”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教研组整合出本学科的试题解析与研究，为下一步教学指明方向。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以学定教、以考定教，以学定练、以考定练”，深入把握学情、考情，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分析高考考点、考查频度、深广度和考查方法，进一步调整教学策略、找到应对措施；分析、归纳考点和难度，把握复习的深广度；分析、归纳题型，找到各类题的解题思路和方法。</w:t>
      </w:r>
    </w:p>
    <w:p>
      <w:pPr>
        <w:pStyle w:val="9"/>
        <w:spacing w:line="360" w:lineRule="auto"/>
        <w:ind w:firstLine="640"/>
        <w:rPr>
          <w:rFonts w:hint="default" w:ascii="仿宋" w:hAnsi="仿宋" w:eastAsia="仿宋" w:cs="仿宋"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探索开展命题大赛，提高教师的教学前瞻研究和命题能力，把握高考动向，保证教学的前瞻性。把握高考命题原则（以核心素养为测试宗旨、以真实情境为测试载体、以实际问题为测试任务、以学科知识为解决问题的工具），把握新教材注重“学科素养、学习方法”的特点，教师需要做好与学科知识系统化相结合的文章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开展新老高三经验交流会，传承备考经验，共享备考资源，在整体教学规划、单元复习策略、高考评阅细则、学生健康管理、心理调适方法等方面，虚心向老高三求教，积极征询新高考新形势下的新问题，不断修整复习备考的策略和方法，为进一步做好2023年高考备考工作打下坚实基础。</w:t>
      </w:r>
    </w:p>
    <w:p>
      <w:pPr>
        <w:pStyle w:val="9"/>
        <w:spacing w:line="360" w:lineRule="auto"/>
        <w:ind w:firstLine="640"/>
        <w:rPr>
          <w:rFonts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.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</w:rPr>
        <w:t>深化课堂教学模式，创新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</w:rPr>
        <w:t>完善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</w:rPr>
        <w:t>学案编写，推进课堂教学方法和学生学习方式的改变，推进课堂教学提质增效。</w:t>
      </w:r>
    </w:p>
    <w:p>
      <w:pPr>
        <w:pStyle w:val="9"/>
        <w:spacing w:line="360" w:lineRule="auto"/>
        <w:ind w:firstLine="640"/>
        <w:rPr>
          <w:rFonts w:hint="default" w:ascii="仿宋" w:hAnsi="仿宋" w:eastAsia="仿宋"/>
          <w:bCs/>
          <w:color w:val="000000" w:themeColor="text1"/>
          <w:sz w:val="32"/>
          <w:szCs w:val="32"/>
          <w:lang w:val="en-US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（1）适时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开展第九届课堂改进大赛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以课堂大赛为依托，探索导学案改进和教学模式的提升。探索国家课程校本化的导学案编写，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提高导学案的针对性、实效性，形成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具有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学校特色的基本统一的新授课学案格式，确保大（校）同小（科）异，同科同案。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传承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我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课改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的核心“先自主、再合作、争展示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精点拨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 xml:space="preserve">” 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和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“教为主导、学为主体”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的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生本理念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充分依托“目标任务化、任务问题化、问题层次化”、以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“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问题驱动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”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学生主动思考、主动学习的基本模式，从而调动学生积极思考、主动学习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精心设置问题，培养学生深层思维、深度学习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，鼓励学生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勇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于表达，培养学生阳光自信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的品格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结合新高考要求，植入“情境导入”，以真实学科情境激发学生学习兴趣，从真实学科情境中提取学科知识、学科问题，整合已有学科知识和能力，从而培养学生分析问题、解决问题的学科素养。</w:t>
      </w:r>
    </w:p>
    <w:p>
      <w:pPr>
        <w:pStyle w:val="9"/>
        <w:spacing w:line="360" w:lineRule="auto"/>
        <w:ind w:firstLine="640"/>
        <w:rPr>
          <w:rFonts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探索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高三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复习课的导学案模式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突出学情、考情的把握和研究，“以学定教、以考定教，以学定练、以考定练”。注重学科知识整合、情境分析、信息提取，从而提升学科素养。在去年高三一轮研讨的基础上，形成较为完善的高三复习课模式。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根据一轮复习的目标，把握复习的深广度，把高一、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高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二的知识点，纺成线，织成网，形成知识网络（思维导图），牵一发而动全身，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形成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知识关联和思维发散。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“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知识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织网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～精心点拨～典例剖析～迁移训练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基础上，注重合理植入“情境设置”，强化高三导学案的针对性、实效性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。</w:t>
      </w:r>
    </w:p>
    <w:p>
      <w:pPr>
        <w:pStyle w:val="9"/>
        <w:spacing w:line="360" w:lineRule="auto"/>
        <w:ind w:firstLine="640"/>
        <w:rPr>
          <w:rFonts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高一、高二年级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继续探索、实践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学生成长共同体”建设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将其应用到学生成长的方方面面。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促进学生分工协作、相互督促、共同成长。把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常规养成行为表现”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“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学习行为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表现和结果”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作为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学生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成长的两大抓手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，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全面体现学生的发展、成长，成为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评价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学生“知行合一”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的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总抓手。</w:t>
      </w:r>
    </w:p>
    <w:p>
      <w:pPr>
        <w:pStyle w:val="9"/>
        <w:spacing w:line="360" w:lineRule="auto"/>
        <w:ind w:firstLine="640"/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</w:rPr>
        <w:t>10.继续探索、实施英语、日语走班教学。</w:t>
      </w:r>
    </w:p>
    <w:p>
      <w:pPr>
        <w:pStyle w:val="9"/>
        <w:spacing w:line="360" w:lineRule="auto"/>
        <w:ind w:firstLine="640"/>
        <w:rPr>
          <w:rFonts w:hint="default" w:ascii="仿宋" w:hAnsi="仿宋" w:eastAsia="仿宋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根据我校学生英语水平的实际情况，针对部分英语成绩较差选修日语的学生，采取校内走班学习和校外个人培训相结合的学习方式。高三、高二每周2次英语、日语走班教学，作为日语学习的有力补充，探索英语课日语生学习、辅导和管理问题；高一适时尝试日语指导课，为英语较差赶不上来的同学提供选择和指导。探索日语生线上线下学习方式，切实加强日语生的管理。</w:t>
      </w:r>
    </w:p>
    <w:p>
      <w:pPr>
        <w:pStyle w:val="9"/>
        <w:spacing w:line="360" w:lineRule="auto"/>
        <w:ind w:firstLine="640"/>
        <w:rPr>
          <w:rFonts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11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.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继续推进学校“1426”发展战略的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“教研课题化”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工程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</w:rPr>
        <w:t>，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教科研活动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</w:rPr>
        <w:t>对教育教学更具实效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制定学校教科研考核办法，激励教师积极参与教学研究，落实学校“教研课题化”工程。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基于“新课标、新教材、新高考”小课题研究，如“题型”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模块”“专题”“知识点”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突破等、应考能力提升研究等实用的小课题研究，防止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教研与教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学脱节。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实施以课题实验为主导的教学行动研究，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从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教学中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遇到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的问题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入手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寻求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解决办法，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办法实验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过程即是研究过程，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从而解决问题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提高教学质量。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继续做好课题的立项、研究、结题工作与课题研究、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优秀科研成果转化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工作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浓厚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教科研兴师强校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浓厚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氛围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。抓好省市级课题研究，做好过程管理，及时组织参加结题鉴定。进一步总结和深化创新课、新道德教育主题班会的成功做法，力争做出更好的成绩，形成可以复制的经验。</w:t>
      </w:r>
    </w:p>
    <w:p>
      <w:pPr>
        <w:pStyle w:val="9"/>
        <w:spacing w:line="360" w:lineRule="auto"/>
        <w:ind w:firstLine="640"/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做好优秀成果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推广与转化工作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认真总结学校近年来教学改革的成功做法，研究课堂改进成果取得的做法和经验，全面做好成果提升、推广和不断深化工作。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本学年，做好原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确立课题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结题、总结、评价工作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，筛选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校本课题，召开“小课题研究”成果展示交流会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推广典型经验。</w:t>
      </w:r>
    </w:p>
    <w:p>
      <w:pPr>
        <w:pStyle w:val="9"/>
        <w:spacing w:line="360" w:lineRule="auto"/>
        <w:ind w:firstLine="640"/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认真组织好教师培训工作，努力提升教师专业素养。参加山东省“互联网+”远程研修，完成研修任务，确保教师全部合格。积极组织教师参加国培、省培和市级骨干教师培训。采取“走出去，请进来”的方式开拓教师培训的渠道，组织教师外出参观、参学、参加学术研讨会，邀请专家来校开展学术交流等活动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。</w:t>
      </w:r>
    </w:p>
    <w:p>
      <w:pPr>
        <w:pStyle w:val="9"/>
        <w:spacing w:line="360" w:lineRule="auto"/>
        <w:ind w:firstLine="640"/>
        <w:rPr>
          <w:rFonts w:hint="eastAsia"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“青蓝工程”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为抓手，做好年轻教师的培训工作。建立师徒结对听评课制度、撰写教学反思制度，时时跟进指导，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做好青蓝工程总结，评选优秀“师徒”。</w:t>
      </w:r>
    </w:p>
    <w:p>
      <w:pPr>
        <w:pStyle w:val="9"/>
        <w:spacing w:line="360" w:lineRule="auto"/>
        <w:ind w:firstLine="640"/>
        <w:rPr>
          <w:rFonts w:hint="eastAsia"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以全国“推普周”为契机做好学校语言文字工作，制定“推普周”活动方案，举办启动仪式，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“说普通话，用规范字”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为主旨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与政教团委、语文组、艺体处等部门联合开展辩论赛、朗诵、合唱、书画比赛等，结合艺术活动月开展丰富多彩的语言文字活动。</w:t>
      </w:r>
    </w:p>
    <w:p>
      <w:pPr>
        <w:spacing w:line="360" w:lineRule="auto"/>
        <w:ind w:firstLine="640" w:firstLineChars="200"/>
        <w:rPr>
          <w:rFonts w:ascii="楷体" w:hAnsi="楷体" w:eastAsia="楷体" w:cs="楷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 w:themeColor="text1"/>
          <w:kern w:val="0"/>
          <w:sz w:val="32"/>
          <w:szCs w:val="32"/>
        </w:rPr>
        <w:t>1</w:t>
      </w:r>
      <w:r>
        <w:rPr>
          <w:rFonts w:hint="eastAsia" w:ascii="楷体" w:hAnsi="楷体" w:eastAsia="楷体" w:cs="楷体"/>
          <w:bCs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Cs/>
          <w:color w:val="000000" w:themeColor="text1"/>
          <w:kern w:val="0"/>
          <w:sz w:val="32"/>
          <w:szCs w:val="32"/>
        </w:rPr>
        <w:t>.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继续推进学校“1426”发展战略的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“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育人课程化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</w:rPr>
        <w:t>”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:lang w:val="en-US" w:eastAsia="zh-CN"/>
        </w:rPr>
        <w:t>工程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</w:rPr>
        <w:t>，</w:t>
      </w:r>
      <w:r>
        <w:rPr>
          <w:rFonts w:hint="eastAsia" w:ascii="楷体" w:hAnsi="楷体" w:eastAsia="楷体" w:cs="楷体"/>
          <w:bCs/>
          <w:color w:val="000000" w:themeColor="text1"/>
          <w:kern w:val="0"/>
          <w:sz w:val="32"/>
          <w:szCs w:val="32"/>
        </w:rPr>
        <w:t>加强课程建设，实现教师多元发展和学生</w:t>
      </w:r>
      <w:r>
        <w:rPr>
          <w:rFonts w:hint="eastAsia" w:ascii="楷体" w:hAnsi="楷体" w:eastAsia="楷体" w:cs="楷体"/>
          <w:bCs/>
          <w:color w:val="000000" w:themeColor="text1"/>
          <w:kern w:val="0"/>
          <w:sz w:val="32"/>
          <w:szCs w:val="32"/>
          <w:lang w:val="en-US" w:eastAsia="zh-CN"/>
        </w:rPr>
        <w:t>健康</w:t>
      </w:r>
      <w:r>
        <w:rPr>
          <w:rFonts w:hint="eastAsia" w:ascii="楷体" w:hAnsi="楷体" w:eastAsia="楷体" w:cs="楷体"/>
          <w:bCs/>
          <w:color w:val="000000" w:themeColor="text1"/>
          <w:kern w:val="0"/>
          <w:sz w:val="32"/>
          <w:szCs w:val="32"/>
        </w:rPr>
        <w:t>成长。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制定课程中心对教师的考核评价办法，激励教师开发、实施校本课程等教育教学活动，落实学校“课程育人化”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</w:rPr>
        <w:t>工程，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构建学校课程开发战略和总体框架、实施路径和方法，将课程开发落到实处。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加强国家课程校本化的研究与实践。指导学科组、教师，根据教学实践，进行教材整合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和教学实施办法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探索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，形成我校适合学生学习、具备我校课堂改革特色和学科、教师特色的课程，完成国家课程校本化，更有利于提高课堂学习效率。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在开齐开全国家课程的前提下，探索实施地方课程、校本课程，丰富课程内容，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强化课程育人职能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</w:rPr>
        <w:t>。大力研发红色文化、传统文化、传统体育的校本课程，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val="en-US" w:eastAsia="zh-CN"/>
        </w:rPr>
        <w:t>鼓励教师开发劳动课程。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修改、完善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校本课程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</w:rPr>
        <w:t>组织优秀校本课程评选和校本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课程优质课展评活动。协同教务处、年级和教研组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</w:rPr>
        <w:t>实施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校本课程的开设。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持续推进“长城大讲堂”活动。在总结前期“长城大讲堂”系列课程活动经验的基础上，继续推进学科专题讲座活动，发动更多教师参与进来，力争实现“人人有课题”目标。拓宽长城大讲堂渠道，邀请高校专家、毕业学生、学生家长开展专业擅长领域的大讲堂报告，拓宽学生视野、激发学生学习兴趣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</w:rPr>
        <w:t>积极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推进综合实践课程活动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继续推进研究性学习活动，调动各年级、各学科组推动此项活动，课程中心加强督促和指导。扩大师生参与研究性学习的层面，进一步提升学生的综合素质。协同团委等部门，加强与周边地区和单位的联系，巩固综合实践基地、劳动基地，利用周末、节假日带领学生参观、实践，并形成写实记录，进一步提升学生的实践、创新能力，培养学生的劳动观念和劳动能力。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激励教师撰写教学反思和教学案例，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发挥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教师博群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在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展示教师教育教学思想、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专业成长等方面的功能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。继续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探索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利用各种媒体、校园网、教育教学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公众号、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博群、微信、微博等媒体共融的媒体空间，发挥媒体在教育教学与学校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管理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等方面的强大功能，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发掘教学工作中的亮点和特色，加强对学校教学工作的宣传，扩大学校知名度。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1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.做好学校体育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</w:rPr>
        <w:t>与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健康、美育工作，全面培养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</w:rPr>
        <w:t>提升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学生综合素质。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全面落实国务院《关于全面加强和改进新时代学校体育工作的意见》和《关于全面加强和改进新时代学校美育工作的意见》，以增强学生体质、提高学生综合艺术综合素质为中心，突出重点，注重实效，创造性开展学校体育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提升体育与美育的育人职能。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加强常规管理和学科组教研活动，规范音乐、美术、体育课的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教学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过程和行为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探索体育、艺术教育教学实践，根据新课标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，整合音、体、美教材、精心设计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高中阶段整体、各（年级）学段、各学期、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教学内容和教学方式方法，提高体育、艺术教育的针对性和实效性，全面提高我校体育、艺术教育教学水平。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根据学生素质测评项目，制定分阶段目标和实施方案，认真落实于学期、月、周教学计划、课堂之中，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努力提升学生综合素质，做好学生体质检测和综合素质评价相关工作。积极参与学校课题研究及社团、实践等校本课程的研发和组织开设，促进教师多元发展、学生全面发展。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加强校园体育、艺术文化建设，积极创建学校艺体特色，丰富校园体育、艺术活动，营造健康活泼的全面发展环境。认真组织好学生日常的课间操、眼保健操、“午唱”等活动；深入调研，让每位学生各选择一项最喜欢、最擅长的体育活动和艺术活动，成立学生喜欢的各种社团，科学做好课外活动的组织和指导工作；按时间节点，组织开展好体育节、艺术节、“长城好声音”、足球赛、篮球赛、乒乓球赛等学生群众体育艺术活动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制定特长生管理办法、训练队管理办法等规章制度，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加强特长生的教育、训练和管理。与家长、年级、班主任形成合力，确保学生管理无死角、无盲区，训练时段教练全权负责、学习时段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年级、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班主任全权负责，在家时段家长全权负责。时刻关注学生思想动态、遵规守纪、交通和训练安全。训练工作常抓不懈，积极参加上级组织的各种活动比赛，做好活动各项预案，确保安全前提下，力争更好的比赛成绩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认真抓好特长生专业训练和文化课学习工作，为学生升学拓展多元化途径。</w:t>
      </w:r>
    </w:p>
    <w:p>
      <w:pPr>
        <w:spacing w:line="360" w:lineRule="auto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1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.建设智慧校园，加快“现代化特色学校”进程。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深入研究，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编制“智慧校园”建设方案，逐步改善、提升校园数字信息化水平。促进信息技术与教育教学融合、提高教与学的效果，建设数据化、网络化、全面型、智慧型、协作型为一体的教学、科研和生活服务的智慧管理环境，并对教育教学、教育管理进行洞察和预测的智慧学习环境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</w:rPr>
        <w:t>发掘和探索信息技术服务教育教学的功能，开发教师阅卷系统、题库建设、智慧教育云平台使用。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加强对教师信息化教学的培训，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推进教师“互联网+”背景下的教学研究，提升教师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的信息化教育教学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专业技能。探索利用大数据进行教师、学生的评价与诊断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功能</w:t>
      </w:r>
      <w:r>
        <w:rPr>
          <w:rFonts w:ascii="仿宋" w:hAnsi="仿宋" w:eastAsia="仿宋"/>
          <w:bCs/>
          <w:color w:val="000000" w:themeColor="text1"/>
          <w:sz w:val="32"/>
          <w:szCs w:val="32"/>
        </w:rPr>
        <w:t>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及时检修、提升学校信息技术系统设备，确保网络安全，做好学校管理的技术保障，为教师教育教学和学生学习保驾护航。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利用、开发网络教育教学资源，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继续探索线上、线下教学的有机结合，使“线下统一教学学习”和“线上个性化需求学习”相互补充。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做好疫情线上教学预案，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做好技术培训和服务工作。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>完善线上教学的方式方法，采取录播、直播相结合的授课方式，重视线上答疑和作业批改、点评，探索学生线上学习的监管方法，提高线上学习的实效性和针对性。探索利用当下专业化高、质量优良的教育网站或APP，丰富学生学习资源，满足学生个性化学习需求。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2022.8-12月，山东省全民数字素养提升技能大赛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教师：教学数字化创新竞赛：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提交：教案、课堂教学视频、教学实施报告等案例作品，考察参赛教师在日常教学、教案设计、课程优化等方面使用VR、AR等数字技术的能力，推动数字技术在教育教学中的运用，提升教师数字化教学水平。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学生：青少年智能创新大赛：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</w:rPr>
        <w:t>竞赛分为：电子竞技、智能机器人、软件编程三个类别。软件编程、机器人竞技、作品设计、作品演示等方式，考察青少年逻辑思维、动手实践、创新创作等能力，引导青少年使用数字工具、掌握数字技能，激发科学兴趣和想象力，培养左眼探究创新创造的科学精神，助推青少年数字素养提升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</w:rPr>
        <w:t>）</w:t>
      </w:r>
    </w:p>
    <w:p>
      <w:pPr>
        <w:spacing w:line="360" w:lineRule="auto"/>
        <w:rPr>
          <w:rFonts w:hint="default" w:ascii="仿宋" w:hAnsi="仿宋" w:eastAsia="仿宋"/>
          <w:bCs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I4YjFiYzU1NGQ2Y2QzMDczOWVlNTJhMzc5YzRiNzYifQ=="/>
  </w:docVars>
  <w:rsids>
    <w:rsidRoot w:val="00442546"/>
    <w:rsid w:val="001C7CEA"/>
    <w:rsid w:val="0040259D"/>
    <w:rsid w:val="00423F43"/>
    <w:rsid w:val="00442546"/>
    <w:rsid w:val="00495AE0"/>
    <w:rsid w:val="00496ACA"/>
    <w:rsid w:val="004A5C91"/>
    <w:rsid w:val="005340E9"/>
    <w:rsid w:val="00544852"/>
    <w:rsid w:val="005666CA"/>
    <w:rsid w:val="00650DCA"/>
    <w:rsid w:val="006F1A01"/>
    <w:rsid w:val="008A52F3"/>
    <w:rsid w:val="008C6F5F"/>
    <w:rsid w:val="009A3709"/>
    <w:rsid w:val="00AF0E18"/>
    <w:rsid w:val="00CF00E4"/>
    <w:rsid w:val="00D2197A"/>
    <w:rsid w:val="00D76076"/>
    <w:rsid w:val="00DC51A5"/>
    <w:rsid w:val="00F52FD3"/>
    <w:rsid w:val="00F952D1"/>
    <w:rsid w:val="00FC4F85"/>
    <w:rsid w:val="01046B36"/>
    <w:rsid w:val="010D427B"/>
    <w:rsid w:val="01984408"/>
    <w:rsid w:val="01AC75F0"/>
    <w:rsid w:val="02CF1B9C"/>
    <w:rsid w:val="03C060BB"/>
    <w:rsid w:val="04856557"/>
    <w:rsid w:val="04F27C94"/>
    <w:rsid w:val="051C4F44"/>
    <w:rsid w:val="05331EAB"/>
    <w:rsid w:val="06353226"/>
    <w:rsid w:val="063A0DFC"/>
    <w:rsid w:val="07390C32"/>
    <w:rsid w:val="074E3BD8"/>
    <w:rsid w:val="07A1285B"/>
    <w:rsid w:val="07C11666"/>
    <w:rsid w:val="07E4651F"/>
    <w:rsid w:val="084003D8"/>
    <w:rsid w:val="086054CD"/>
    <w:rsid w:val="087C207E"/>
    <w:rsid w:val="08B23484"/>
    <w:rsid w:val="09BE6112"/>
    <w:rsid w:val="09D21BBD"/>
    <w:rsid w:val="09F060B7"/>
    <w:rsid w:val="0A9B665E"/>
    <w:rsid w:val="0AB74954"/>
    <w:rsid w:val="0B110B6C"/>
    <w:rsid w:val="0B516074"/>
    <w:rsid w:val="0B80345F"/>
    <w:rsid w:val="0D8A634B"/>
    <w:rsid w:val="0D9009A5"/>
    <w:rsid w:val="0DA55E8A"/>
    <w:rsid w:val="0DBD5341"/>
    <w:rsid w:val="0DE53E82"/>
    <w:rsid w:val="0DF21B50"/>
    <w:rsid w:val="0E034DDD"/>
    <w:rsid w:val="0E607382"/>
    <w:rsid w:val="0EB65AD1"/>
    <w:rsid w:val="0EC3241C"/>
    <w:rsid w:val="0EE23A27"/>
    <w:rsid w:val="0F034A28"/>
    <w:rsid w:val="0F2C31A2"/>
    <w:rsid w:val="0F5337A0"/>
    <w:rsid w:val="11037057"/>
    <w:rsid w:val="113E3C40"/>
    <w:rsid w:val="11946C42"/>
    <w:rsid w:val="11C26171"/>
    <w:rsid w:val="11C439C9"/>
    <w:rsid w:val="12D20E80"/>
    <w:rsid w:val="132C61DC"/>
    <w:rsid w:val="133D454B"/>
    <w:rsid w:val="13564C64"/>
    <w:rsid w:val="13F00FE5"/>
    <w:rsid w:val="142C21B0"/>
    <w:rsid w:val="143D57B0"/>
    <w:rsid w:val="147A59DD"/>
    <w:rsid w:val="150707D0"/>
    <w:rsid w:val="1541481C"/>
    <w:rsid w:val="15731331"/>
    <w:rsid w:val="166C619B"/>
    <w:rsid w:val="16AE750E"/>
    <w:rsid w:val="181E6A54"/>
    <w:rsid w:val="19063631"/>
    <w:rsid w:val="192729C8"/>
    <w:rsid w:val="19445F08"/>
    <w:rsid w:val="19590074"/>
    <w:rsid w:val="19B06C4F"/>
    <w:rsid w:val="1A104F89"/>
    <w:rsid w:val="1A1A79C8"/>
    <w:rsid w:val="1A743F1D"/>
    <w:rsid w:val="1A8567D8"/>
    <w:rsid w:val="1AF23999"/>
    <w:rsid w:val="1B570103"/>
    <w:rsid w:val="1BCA303C"/>
    <w:rsid w:val="1CEA19E7"/>
    <w:rsid w:val="1D194FDA"/>
    <w:rsid w:val="1D696668"/>
    <w:rsid w:val="1DBC0763"/>
    <w:rsid w:val="1EE66F48"/>
    <w:rsid w:val="1F672950"/>
    <w:rsid w:val="1F803D94"/>
    <w:rsid w:val="1FE419FF"/>
    <w:rsid w:val="1FED10A7"/>
    <w:rsid w:val="20154666"/>
    <w:rsid w:val="20207D22"/>
    <w:rsid w:val="20C27930"/>
    <w:rsid w:val="20CE2C87"/>
    <w:rsid w:val="211110F1"/>
    <w:rsid w:val="214A42BE"/>
    <w:rsid w:val="219E5EC8"/>
    <w:rsid w:val="21E60F31"/>
    <w:rsid w:val="229A7404"/>
    <w:rsid w:val="22C83A86"/>
    <w:rsid w:val="22CF451C"/>
    <w:rsid w:val="22DE333F"/>
    <w:rsid w:val="235A088D"/>
    <w:rsid w:val="238B30B1"/>
    <w:rsid w:val="23E218A2"/>
    <w:rsid w:val="244C10EE"/>
    <w:rsid w:val="24B72CAE"/>
    <w:rsid w:val="24E77CB9"/>
    <w:rsid w:val="25213B32"/>
    <w:rsid w:val="2525320E"/>
    <w:rsid w:val="25453628"/>
    <w:rsid w:val="25604659"/>
    <w:rsid w:val="25DA349A"/>
    <w:rsid w:val="260A2EE5"/>
    <w:rsid w:val="26A17651"/>
    <w:rsid w:val="26A82A1C"/>
    <w:rsid w:val="27271B4F"/>
    <w:rsid w:val="273742DF"/>
    <w:rsid w:val="27AB4A1B"/>
    <w:rsid w:val="28A71B86"/>
    <w:rsid w:val="28C008F7"/>
    <w:rsid w:val="2A3B1DAA"/>
    <w:rsid w:val="2BCB5164"/>
    <w:rsid w:val="2BDE21D0"/>
    <w:rsid w:val="2C0E0B4B"/>
    <w:rsid w:val="2C3859BE"/>
    <w:rsid w:val="2C4B6AFC"/>
    <w:rsid w:val="2CAA3B8A"/>
    <w:rsid w:val="2CCE53F5"/>
    <w:rsid w:val="2CFC53A9"/>
    <w:rsid w:val="2D0B33D8"/>
    <w:rsid w:val="2D0E19A1"/>
    <w:rsid w:val="2EE857D6"/>
    <w:rsid w:val="2F0A4433"/>
    <w:rsid w:val="2F722D70"/>
    <w:rsid w:val="30A8369F"/>
    <w:rsid w:val="32375423"/>
    <w:rsid w:val="32586D53"/>
    <w:rsid w:val="327439C4"/>
    <w:rsid w:val="32800ABA"/>
    <w:rsid w:val="32CA1102"/>
    <w:rsid w:val="33602FCB"/>
    <w:rsid w:val="33705B3D"/>
    <w:rsid w:val="33C676FC"/>
    <w:rsid w:val="33CC3E0F"/>
    <w:rsid w:val="350B11FD"/>
    <w:rsid w:val="35485731"/>
    <w:rsid w:val="36824780"/>
    <w:rsid w:val="368610DE"/>
    <w:rsid w:val="36D30B9F"/>
    <w:rsid w:val="37234FA2"/>
    <w:rsid w:val="37B20F9B"/>
    <w:rsid w:val="37CE1EA7"/>
    <w:rsid w:val="388760E5"/>
    <w:rsid w:val="38FD7CF7"/>
    <w:rsid w:val="39660541"/>
    <w:rsid w:val="3A045513"/>
    <w:rsid w:val="3A162A19"/>
    <w:rsid w:val="3AA24073"/>
    <w:rsid w:val="3B297CC7"/>
    <w:rsid w:val="3B432552"/>
    <w:rsid w:val="3B9B4C82"/>
    <w:rsid w:val="3C0B7623"/>
    <w:rsid w:val="3D0D2931"/>
    <w:rsid w:val="3D6955D0"/>
    <w:rsid w:val="3D7929FE"/>
    <w:rsid w:val="3D8A7D7D"/>
    <w:rsid w:val="3D95339D"/>
    <w:rsid w:val="3DAA7F70"/>
    <w:rsid w:val="3E0556A1"/>
    <w:rsid w:val="3E480CCA"/>
    <w:rsid w:val="3F146CE2"/>
    <w:rsid w:val="3F6C33A7"/>
    <w:rsid w:val="3FDD6B5E"/>
    <w:rsid w:val="40004456"/>
    <w:rsid w:val="403B5CAF"/>
    <w:rsid w:val="408556F2"/>
    <w:rsid w:val="40AC3FB5"/>
    <w:rsid w:val="416532A6"/>
    <w:rsid w:val="41802D58"/>
    <w:rsid w:val="42586B9E"/>
    <w:rsid w:val="425D76AB"/>
    <w:rsid w:val="436213ED"/>
    <w:rsid w:val="43EC7E89"/>
    <w:rsid w:val="44304601"/>
    <w:rsid w:val="44612B62"/>
    <w:rsid w:val="447D7599"/>
    <w:rsid w:val="453E6062"/>
    <w:rsid w:val="459D0843"/>
    <w:rsid w:val="45C94E3D"/>
    <w:rsid w:val="460C5152"/>
    <w:rsid w:val="462D72B2"/>
    <w:rsid w:val="46C6602A"/>
    <w:rsid w:val="46F72BE1"/>
    <w:rsid w:val="47255E4A"/>
    <w:rsid w:val="479361FD"/>
    <w:rsid w:val="47A4233C"/>
    <w:rsid w:val="48014231"/>
    <w:rsid w:val="4921579A"/>
    <w:rsid w:val="49690192"/>
    <w:rsid w:val="4A832DD3"/>
    <w:rsid w:val="4AE91FD4"/>
    <w:rsid w:val="4B297451"/>
    <w:rsid w:val="4BC138B1"/>
    <w:rsid w:val="4C0A3F87"/>
    <w:rsid w:val="4C0D3812"/>
    <w:rsid w:val="4C165E42"/>
    <w:rsid w:val="4C9759F3"/>
    <w:rsid w:val="4DB45274"/>
    <w:rsid w:val="4E510262"/>
    <w:rsid w:val="4E5A42FC"/>
    <w:rsid w:val="4EB75C99"/>
    <w:rsid w:val="4F1166CB"/>
    <w:rsid w:val="4F3E2CBE"/>
    <w:rsid w:val="4F756840"/>
    <w:rsid w:val="4FAF7471"/>
    <w:rsid w:val="503070FB"/>
    <w:rsid w:val="50495956"/>
    <w:rsid w:val="50BE7D72"/>
    <w:rsid w:val="5107792A"/>
    <w:rsid w:val="510A6429"/>
    <w:rsid w:val="51A85C93"/>
    <w:rsid w:val="52823BE3"/>
    <w:rsid w:val="52DD5019"/>
    <w:rsid w:val="53944474"/>
    <w:rsid w:val="53B848C2"/>
    <w:rsid w:val="54130099"/>
    <w:rsid w:val="54202B43"/>
    <w:rsid w:val="548B0046"/>
    <w:rsid w:val="54D52632"/>
    <w:rsid w:val="54FD7A2E"/>
    <w:rsid w:val="555700EF"/>
    <w:rsid w:val="55CF325C"/>
    <w:rsid w:val="55F32C10"/>
    <w:rsid w:val="56846830"/>
    <w:rsid w:val="56AA1A0F"/>
    <w:rsid w:val="56B24AB3"/>
    <w:rsid w:val="57557298"/>
    <w:rsid w:val="584D634C"/>
    <w:rsid w:val="589D2F36"/>
    <w:rsid w:val="58A83620"/>
    <w:rsid w:val="5987069A"/>
    <w:rsid w:val="59D862F1"/>
    <w:rsid w:val="5A727DF1"/>
    <w:rsid w:val="5BF31EAA"/>
    <w:rsid w:val="5C347C56"/>
    <w:rsid w:val="5C636C86"/>
    <w:rsid w:val="5C91642E"/>
    <w:rsid w:val="5CB72211"/>
    <w:rsid w:val="5D573A29"/>
    <w:rsid w:val="5D9F7747"/>
    <w:rsid w:val="5E405EF5"/>
    <w:rsid w:val="5F190B13"/>
    <w:rsid w:val="609A4606"/>
    <w:rsid w:val="60EF299A"/>
    <w:rsid w:val="614A4D14"/>
    <w:rsid w:val="61AB4343"/>
    <w:rsid w:val="61E41579"/>
    <w:rsid w:val="621A55E4"/>
    <w:rsid w:val="621C6FEF"/>
    <w:rsid w:val="62540537"/>
    <w:rsid w:val="62EE4B17"/>
    <w:rsid w:val="631E2A03"/>
    <w:rsid w:val="631F4FF8"/>
    <w:rsid w:val="63416D0D"/>
    <w:rsid w:val="647A6719"/>
    <w:rsid w:val="647C355B"/>
    <w:rsid w:val="6487334A"/>
    <w:rsid w:val="648A2C3A"/>
    <w:rsid w:val="64CD1E9A"/>
    <w:rsid w:val="654D14AF"/>
    <w:rsid w:val="65512D1D"/>
    <w:rsid w:val="668138C4"/>
    <w:rsid w:val="67794A70"/>
    <w:rsid w:val="67AB12F9"/>
    <w:rsid w:val="67D36235"/>
    <w:rsid w:val="67EE3602"/>
    <w:rsid w:val="68711524"/>
    <w:rsid w:val="68827E6E"/>
    <w:rsid w:val="68A71402"/>
    <w:rsid w:val="68DB0677"/>
    <w:rsid w:val="68ED406E"/>
    <w:rsid w:val="69212A60"/>
    <w:rsid w:val="695F2516"/>
    <w:rsid w:val="69847DF4"/>
    <w:rsid w:val="69CA10DE"/>
    <w:rsid w:val="6AEC51DD"/>
    <w:rsid w:val="6B1F7EBC"/>
    <w:rsid w:val="6BF43ACD"/>
    <w:rsid w:val="6C10246D"/>
    <w:rsid w:val="6C19499E"/>
    <w:rsid w:val="6C2F01B3"/>
    <w:rsid w:val="6C5B6EFE"/>
    <w:rsid w:val="6CA06AD8"/>
    <w:rsid w:val="6CA416D7"/>
    <w:rsid w:val="6D6076A8"/>
    <w:rsid w:val="6DB071A8"/>
    <w:rsid w:val="6E77336B"/>
    <w:rsid w:val="6EA82B5C"/>
    <w:rsid w:val="6ED25552"/>
    <w:rsid w:val="6F6D4AF8"/>
    <w:rsid w:val="6F8306AD"/>
    <w:rsid w:val="6F861ED1"/>
    <w:rsid w:val="6F923859"/>
    <w:rsid w:val="6FF5654D"/>
    <w:rsid w:val="70184076"/>
    <w:rsid w:val="702609EA"/>
    <w:rsid w:val="70807A72"/>
    <w:rsid w:val="70B976CE"/>
    <w:rsid w:val="711A6178"/>
    <w:rsid w:val="71B52674"/>
    <w:rsid w:val="727701BD"/>
    <w:rsid w:val="731E500B"/>
    <w:rsid w:val="74B76970"/>
    <w:rsid w:val="74FF2584"/>
    <w:rsid w:val="751349B4"/>
    <w:rsid w:val="75277DAF"/>
    <w:rsid w:val="75671ED7"/>
    <w:rsid w:val="75807E2F"/>
    <w:rsid w:val="75CB2F6E"/>
    <w:rsid w:val="761A2448"/>
    <w:rsid w:val="767A790C"/>
    <w:rsid w:val="76A466E9"/>
    <w:rsid w:val="76D26325"/>
    <w:rsid w:val="7730111A"/>
    <w:rsid w:val="777F6829"/>
    <w:rsid w:val="77C23C43"/>
    <w:rsid w:val="785B47D1"/>
    <w:rsid w:val="789631FF"/>
    <w:rsid w:val="78973C8F"/>
    <w:rsid w:val="78CB5D3B"/>
    <w:rsid w:val="798A7D0A"/>
    <w:rsid w:val="79AE4B17"/>
    <w:rsid w:val="7A563979"/>
    <w:rsid w:val="7B8C08E9"/>
    <w:rsid w:val="7BD62EC8"/>
    <w:rsid w:val="7C0B0B75"/>
    <w:rsid w:val="7C986010"/>
    <w:rsid w:val="7D646189"/>
    <w:rsid w:val="7D992DD5"/>
    <w:rsid w:val="7DA22646"/>
    <w:rsid w:val="7DDC203B"/>
    <w:rsid w:val="7E064983"/>
    <w:rsid w:val="7E22547D"/>
    <w:rsid w:val="7E323D48"/>
    <w:rsid w:val="7FB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11361</Words>
  <Characters>11468</Characters>
  <Lines>55</Lines>
  <Paragraphs>15</Paragraphs>
  <TotalTime>3</TotalTime>
  <ScaleCrop>false</ScaleCrop>
  <LinksUpToDate>false</LinksUpToDate>
  <CharactersWithSpaces>11539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</dc:creator>
  <cp:lastModifiedBy>风清杨</cp:lastModifiedBy>
  <dcterms:modified xsi:type="dcterms:W3CDTF">2022-09-07T08:09:13Z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F0CB98BB821D447A8AC5654E96CA1DE0</vt:lpwstr>
  </property>
  <property fmtid="{D5CDD505-2E9C-101B-9397-08002B2CF9AE}" pid="4" name="commondata">
    <vt:lpwstr>eyJoZGlkIjoiZGNiYzkyYTk1M2Y5YWU4YmMxZGQ0ZGRlYWU0NTY3ZDkifQ==</vt:lpwstr>
  </property>
</Properties>
</file>